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single" w:sz="4" w:space="0" w:color="A6A6A6" w:themeColor="background1" w:themeShade="A6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table has company name and second table has memo information"/>
      </w:tblPr>
      <w:tblGrid>
        <w:gridCol w:w="1065"/>
        <w:gridCol w:w="7575"/>
      </w:tblGrid>
      <w:tr w:rsidR="00595A29" w:rsidRPr="00902783" w:rsidTr="007F0187">
        <w:trPr>
          <w:trHeight w:val="20"/>
        </w:trPr>
        <w:sdt>
          <w:sdtPr>
            <w:rPr>
              <w:rFonts w:ascii="Times New Roman" w:hAnsi="Times New Roman" w:cs="Times New Roman"/>
              <w:sz w:val="24"/>
            </w:rPr>
            <w:id w:val="-1849470194"/>
            <w:placeholder>
              <w:docPart w:val="409D7F1B15354C57A4E43322709793D5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65" w:type="dxa"/>
                <w:tcBorders>
                  <w:top w:val="nil"/>
                  <w:bottom w:val="nil"/>
                </w:tcBorders>
              </w:tcPr>
              <w:p w:rsidR="00595A29" w:rsidRPr="00902783" w:rsidRDefault="00D77C46" w:rsidP="00172EF1">
                <w:pPr>
                  <w:spacing w:line="480" w:lineRule="auto"/>
                  <w:rPr>
                    <w:rFonts w:ascii="Times New Roman" w:hAnsi="Times New Roman" w:cs="Times New Roman"/>
                    <w:sz w:val="24"/>
                  </w:rPr>
                </w:pPr>
                <w:r w:rsidRPr="00902783">
                  <w:rPr>
                    <w:rFonts w:ascii="Times New Roman" w:hAnsi="Times New Roman" w:cs="Times New Roman"/>
                    <w:sz w:val="24"/>
                  </w:rPr>
                  <w:t>To:</w:t>
                </w:r>
              </w:p>
            </w:tc>
          </w:sdtContent>
        </w:sdt>
        <w:tc>
          <w:tcPr>
            <w:tcW w:w="7575" w:type="dxa"/>
            <w:tcBorders>
              <w:top w:val="nil"/>
              <w:bottom w:val="nil"/>
            </w:tcBorders>
          </w:tcPr>
          <w:p w:rsidR="00595A29" w:rsidRPr="00902783" w:rsidRDefault="00595A29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5A29" w:rsidRPr="00902783" w:rsidTr="007F0187">
        <w:trPr>
          <w:trHeight w:val="20"/>
        </w:trPr>
        <w:tc>
          <w:tcPr>
            <w:tcW w:w="1065" w:type="dxa"/>
            <w:tcBorders>
              <w:top w:val="nil"/>
              <w:bottom w:val="nil"/>
            </w:tcBorders>
          </w:tcPr>
          <w:p w:rsidR="00595A29" w:rsidRPr="00902783" w:rsidRDefault="00525F77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1202138601"/>
                <w:placeholder>
                  <w:docPart w:val="66A7619C2F144D5997283B87FA411CCC"/>
                </w:placeholder>
                <w:temporary/>
                <w:showingPlcHdr/>
                <w15:appearance w15:val="hidden"/>
              </w:sdtPr>
              <w:sdtEndPr/>
              <w:sdtContent>
                <w:r w:rsidR="00D77C46" w:rsidRPr="00902783">
                  <w:rPr>
                    <w:rFonts w:ascii="Times New Roman" w:hAnsi="Times New Roman" w:cs="Times New Roman"/>
                    <w:sz w:val="24"/>
                  </w:rPr>
                  <w:t xml:space="preserve">From: </w:t>
                </w:r>
              </w:sdtContent>
            </w:sdt>
          </w:p>
        </w:tc>
        <w:tc>
          <w:tcPr>
            <w:tcW w:w="7575" w:type="dxa"/>
            <w:tcBorders>
              <w:top w:val="nil"/>
              <w:bottom w:val="nil"/>
            </w:tcBorders>
          </w:tcPr>
          <w:p w:rsidR="00595A29" w:rsidRPr="00902783" w:rsidRDefault="00595A29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5A29" w:rsidRPr="00902783" w:rsidTr="007F0187">
        <w:trPr>
          <w:trHeight w:val="20"/>
        </w:trPr>
        <w:tc>
          <w:tcPr>
            <w:tcW w:w="1065" w:type="dxa"/>
            <w:tcBorders>
              <w:top w:val="nil"/>
              <w:bottom w:val="nil"/>
            </w:tcBorders>
          </w:tcPr>
          <w:p w:rsidR="00595A29" w:rsidRPr="00902783" w:rsidRDefault="00525F77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378521910"/>
                <w:placeholder>
                  <w:docPart w:val="F39CEFCF602146208D93EA1889241CD2"/>
                </w:placeholder>
                <w:temporary/>
                <w:showingPlcHdr/>
                <w15:appearance w15:val="hidden"/>
              </w:sdtPr>
              <w:sdtEndPr/>
              <w:sdtContent>
                <w:r w:rsidR="00D77C46" w:rsidRPr="00902783">
                  <w:rPr>
                    <w:rFonts w:ascii="Times New Roman" w:hAnsi="Times New Roman" w:cs="Times New Roman"/>
                    <w:sz w:val="24"/>
                  </w:rPr>
                  <w:t xml:space="preserve">CC: </w:t>
                </w:r>
              </w:sdtContent>
            </w:sdt>
          </w:p>
        </w:tc>
        <w:tc>
          <w:tcPr>
            <w:tcW w:w="7575" w:type="dxa"/>
            <w:tcBorders>
              <w:top w:val="nil"/>
              <w:bottom w:val="nil"/>
            </w:tcBorders>
          </w:tcPr>
          <w:p w:rsidR="00595A29" w:rsidRPr="00902783" w:rsidRDefault="00595A29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5A29" w:rsidRPr="00902783" w:rsidTr="007F0187">
        <w:trPr>
          <w:trHeight w:val="20"/>
        </w:trPr>
        <w:tc>
          <w:tcPr>
            <w:tcW w:w="1065" w:type="dxa"/>
            <w:tcBorders>
              <w:top w:val="nil"/>
              <w:bottom w:val="nil"/>
            </w:tcBorders>
          </w:tcPr>
          <w:p w:rsidR="00595A29" w:rsidRPr="00902783" w:rsidRDefault="00525F77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656889604"/>
                <w:placeholder>
                  <w:docPart w:val="C2D39D237E66407CB7C314BF4F04ADF9"/>
                </w:placeholder>
                <w:temporary/>
                <w:showingPlcHdr/>
                <w15:appearance w15:val="hidden"/>
              </w:sdtPr>
              <w:sdtEndPr/>
              <w:sdtContent>
                <w:r w:rsidR="00D77C46" w:rsidRPr="00902783">
                  <w:rPr>
                    <w:rFonts w:ascii="Times New Roman" w:hAnsi="Times New Roman" w:cs="Times New Roman"/>
                    <w:sz w:val="24"/>
                  </w:rPr>
                  <w:t>Date:</w:t>
                </w:r>
              </w:sdtContent>
            </w:sdt>
          </w:p>
        </w:tc>
        <w:tc>
          <w:tcPr>
            <w:tcW w:w="7575" w:type="dxa"/>
            <w:tcBorders>
              <w:top w:val="nil"/>
              <w:bottom w:val="nil"/>
            </w:tcBorders>
          </w:tcPr>
          <w:p w:rsidR="00595A29" w:rsidRPr="00902783" w:rsidRDefault="003E670C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02783">
              <w:rPr>
                <w:rFonts w:ascii="Times New Roman" w:hAnsi="Times New Roman" w:cs="Times New Roman"/>
                <w:sz w:val="24"/>
              </w:rPr>
              <w:t>27</w:t>
            </w:r>
            <w:r w:rsidRPr="00902783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Pr="00902783">
              <w:rPr>
                <w:rFonts w:ascii="Times New Roman" w:hAnsi="Times New Roman" w:cs="Times New Roman"/>
                <w:sz w:val="24"/>
              </w:rPr>
              <w:t xml:space="preserve"> November 26, 2018</w:t>
            </w:r>
          </w:p>
        </w:tc>
      </w:tr>
      <w:tr w:rsidR="00595A29" w:rsidRPr="00902783" w:rsidTr="007F0187">
        <w:trPr>
          <w:trHeight w:val="20"/>
        </w:trPr>
        <w:tc>
          <w:tcPr>
            <w:tcW w:w="1065" w:type="dxa"/>
            <w:tcBorders>
              <w:top w:val="nil"/>
              <w:bottom w:val="single" w:sz="4" w:space="0" w:color="A6A6A6" w:themeColor="background1" w:themeShade="A6"/>
            </w:tcBorders>
            <w:tcMar>
              <w:bottom w:w="576" w:type="dxa"/>
            </w:tcMar>
          </w:tcPr>
          <w:p w:rsidR="00595A29" w:rsidRPr="00902783" w:rsidRDefault="00525F77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2000876693"/>
                <w:placeholder>
                  <w:docPart w:val="E8B67E2810034EF7B1783AD723C97E99"/>
                </w:placeholder>
                <w:temporary/>
                <w:showingPlcHdr/>
                <w15:appearance w15:val="hidden"/>
              </w:sdtPr>
              <w:sdtEndPr/>
              <w:sdtContent>
                <w:r w:rsidR="00D77C46" w:rsidRPr="00902783">
                  <w:rPr>
                    <w:rFonts w:ascii="Times New Roman" w:hAnsi="Times New Roman" w:cs="Times New Roman"/>
                    <w:sz w:val="24"/>
                  </w:rPr>
                  <w:t>Re:</w:t>
                </w:r>
              </w:sdtContent>
            </w:sdt>
          </w:p>
        </w:tc>
        <w:tc>
          <w:tcPr>
            <w:tcW w:w="7575" w:type="dxa"/>
            <w:tcBorders>
              <w:top w:val="nil"/>
              <w:bottom w:val="single" w:sz="4" w:space="0" w:color="A6A6A6" w:themeColor="background1" w:themeShade="A6"/>
            </w:tcBorders>
            <w:tcMar>
              <w:bottom w:w="576" w:type="dxa"/>
            </w:tcMar>
          </w:tcPr>
          <w:p w:rsidR="00595A29" w:rsidRPr="00902783" w:rsidRDefault="003E670C" w:rsidP="00172E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02783">
              <w:rPr>
                <w:rFonts w:ascii="Times New Roman" w:hAnsi="Times New Roman" w:cs="Times New Roman"/>
                <w:sz w:val="24"/>
              </w:rPr>
              <w:t>Capital Budgeting Techniques</w:t>
            </w:r>
          </w:p>
        </w:tc>
      </w:tr>
    </w:tbl>
    <w:p w:rsidR="00172EF1" w:rsidRDefault="00D52F2D" w:rsidP="00172EF1">
      <w:pPr>
        <w:tabs>
          <w:tab w:val="left" w:pos="360"/>
          <w:tab w:val="left" w:pos="630"/>
        </w:tabs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96D61">
        <w:rPr>
          <w:rFonts w:ascii="Times New Roman" w:hAnsi="Times New Roman" w:cs="Times New Roman"/>
          <w:sz w:val="24"/>
        </w:rPr>
        <w:tab/>
      </w:r>
    </w:p>
    <w:p w:rsidR="00902783" w:rsidRPr="00D52F2D" w:rsidRDefault="00DB108B" w:rsidP="00172EF1">
      <w:pPr>
        <w:tabs>
          <w:tab w:val="left" w:pos="360"/>
          <w:tab w:val="left" w:pos="630"/>
        </w:tabs>
        <w:spacing w:after="0" w:line="480" w:lineRule="auto"/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172EF1">
        <w:rPr>
          <w:rFonts w:ascii="Times New Roman" w:hAnsi="Times New Roman" w:cs="Times New Roman"/>
          <w:sz w:val="24"/>
        </w:rPr>
        <w:t xml:space="preserve">Hello, this writing targets to offers useful insights on approaches in project decision analysis popularly identified as capital budgeting decision. </w:t>
      </w:r>
      <w:r w:rsidR="00D52F2D">
        <w:rPr>
          <w:rFonts w:ascii="Times New Roman" w:hAnsi="Times New Roman" w:cs="Times New Roman"/>
          <w:sz w:val="24"/>
        </w:rPr>
        <w:t xml:space="preserve">The choice of the worthwhile project to invest funds in involves the utilization of capital budgeting techniques. </w:t>
      </w:r>
      <w:r w:rsidR="00D52F2D" w:rsidRPr="00D52F2D">
        <w:rPr>
          <w:rFonts w:ascii="Times New Roman" w:hAnsi="Times New Roman" w:cs="Times New Roman"/>
          <w:sz w:val="24"/>
        </w:rPr>
        <w:t xml:space="preserve">Capital budgeting encompasses the establishment of investment and project valuation to facilitate the decision on implementing or abandoning it. The capital budgeting approach </w:t>
      </w:r>
      <w:r w:rsidR="00D52F2D" w:rsidRPr="00D52F2D">
        <w:rPr>
          <w:rFonts w:ascii="Times New Roman" w:hAnsi="Times New Roman" w:cs="Times New Roman"/>
          <w:noProof/>
          <w:sz w:val="24"/>
        </w:rPr>
        <w:t>entails</w:t>
      </w:r>
      <w:r w:rsidR="00D52F2D" w:rsidRPr="00D52F2D">
        <w:rPr>
          <w:rFonts w:ascii="Times New Roman" w:hAnsi="Times New Roman" w:cs="Times New Roman"/>
          <w:sz w:val="24"/>
        </w:rPr>
        <w:t xml:space="preserve"> the computation of the project’s future cash flows, returns </w:t>
      </w:r>
      <w:r w:rsidR="00D52F2D" w:rsidRPr="00D52F2D">
        <w:rPr>
          <w:rFonts w:ascii="Times New Roman" w:hAnsi="Times New Roman" w:cs="Times New Roman"/>
          <w:noProof/>
          <w:sz w:val="24"/>
        </w:rPr>
        <w:t>an</w:t>
      </w:r>
      <w:r w:rsidR="00D52F2D" w:rsidRPr="00D52F2D">
        <w:rPr>
          <w:rFonts w:ascii="Times New Roman" w:hAnsi="Times New Roman" w:cs="Times New Roman"/>
          <w:sz w:val="24"/>
        </w:rPr>
        <w:t xml:space="preserve"> initial valuation, risk assessment among other things</w:t>
      </w:r>
      <w:r w:rsidR="002B59A2">
        <w:rPr>
          <w:rFonts w:ascii="Times New Roman" w:hAnsi="Times New Roman" w:cs="Times New Roman"/>
          <w:sz w:val="24"/>
        </w:rPr>
        <w:t xml:space="preserve"> </w:t>
      </w:r>
      <w:r w:rsidR="002B59A2">
        <w:rPr>
          <w:rFonts w:ascii="Times New Roman" w:hAnsi="Times New Roman" w:cs="Times New Roman"/>
          <w:sz w:val="24"/>
          <w:szCs w:val="24"/>
        </w:rPr>
        <w:t>(</w:t>
      </w:r>
      <w:r w:rsidR="002B59A2" w:rsidRPr="00C85A32">
        <w:rPr>
          <w:rFonts w:ascii="Times New Roman" w:hAnsi="Times New Roman" w:cs="Times New Roman"/>
          <w:sz w:val="24"/>
          <w:szCs w:val="24"/>
        </w:rPr>
        <w:t>Ross, Westerfield, &amp; Jaffe, 2016)</w:t>
      </w:r>
      <w:r w:rsidR="00D52F2D">
        <w:rPr>
          <w:rFonts w:ascii="Times New Roman" w:hAnsi="Times New Roman" w:cs="Times New Roman"/>
          <w:sz w:val="24"/>
        </w:rPr>
        <w:t xml:space="preserve">. The capital budgeting decision relies on the utilization of techniques such as internal rate of return, </w:t>
      </w:r>
      <w:r w:rsidR="00B76745">
        <w:rPr>
          <w:rFonts w:ascii="Times New Roman" w:hAnsi="Times New Roman" w:cs="Times New Roman"/>
          <w:sz w:val="24"/>
        </w:rPr>
        <w:t>payback</w:t>
      </w:r>
      <w:r w:rsidR="00D52F2D">
        <w:rPr>
          <w:rFonts w:ascii="Times New Roman" w:hAnsi="Times New Roman" w:cs="Times New Roman"/>
          <w:sz w:val="24"/>
        </w:rPr>
        <w:t xml:space="preserve"> period, profitability index, accounting rate of return and net present value (NPV).</w:t>
      </w:r>
      <w:r w:rsidR="00B76745">
        <w:rPr>
          <w:rFonts w:ascii="Times New Roman" w:hAnsi="Times New Roman" w:cs="Times New Roman"/>
          <w:sz w:val="24"/>
        </w:rPr>
        <w:t xml:space="preserve"> All the techniques </w:t>
      </w:r>
      <w:r w:rsidR="00D96D61">
        <w:rPr>
          <w:rFonts w:ascii="Times New Roman" w:hAnsi="Times New Roman" w:cs="Times New Roman"/>
          <w:sz w:val="24"/>
        </w:rPr>
        <w:t>involve</w:t>
      </w:r>
      <w:r w:rsidR="00B76745">
        <w:rPr>
          <w:rFonts w:ascii="Times New Roman" w:hAnsi="Times New Roman" w:cs="Times New Roman"/>
          <w:sz w:val="24"/>
        </w:rPr>
        <w:t xml:space="preserve"> the </w:t>
      </w:r>
      <w:r w:rsidR="00815E3F">
        <w:rPr>
          <w:rFonts w:ascii="Times New Roman" w:hAnsi="Times New Roman" w:cs="Times New Roman"/>
          <w:sz w:val="24"/>
        </w:rPr>
        <w:t>comparison</w:t>
      </w:r>
      <w:r w:rsidR="00B76745">
        <w:rPr>
          <w:rFonts w:ascii="Times New Roman" w:hAnsi="Times New Roman" w:cs="Times New Roman"/>
          <w:sz w:val="24"/>
        </w:rPr>
        <w:t xml:space="preserve"> of the streams of cash flows from a project against the capital investment made for the project.</w:t>
      </w:r>
    </w:p>
    <w:p w:rsidR="00902783" w:rsidRPr="00902783" w:rsidRDefault="00902783" w:rsidP="00172EF1">
      <w:pPr>
        <w:numPr>
          <w:ilvl w:val="0"/>
          <w:numId w:val="1"/>
        </w:numPr>
        <w:tabs>
          <w:tab w:val="left" w:pos="360"/>
          <w:tab w:val="left" w:pos="630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2783">
        <w:rPr>
          <w:rFonts w:ascii="Times New Roman" w:hAnsi="Times New Roman" w:cs="Times New Roman"/>
          <w:i/>
          <w:sz w:val="24"/>
          <w:szCs w:val="24"/>
        </w:rPr>
        <w:t>The internal rate of return</w:t>
      </w:r>
      <w:r w:rsidRPr="00902783">
        <w:rPr>
          <w:rFonts w:ascii="Times New Roman" w:hAnsi="Times New Roman" w:cs="Times New Roman"/>
          <w:sz w:val="24"/>
          <w:szCs w:val="24"/>
        </w:rPr>
        <w:t xml:space="preserve"> </w:t>
      </w:r>
      <w:r w:rsidRPr="00902783">
        <w:rPr>
          <w:rFonts w:ascii="Times New Roman" w:hAnsi="Times New Roman" w:cs="Times New Roman"/>
          <w:i/>
          <w:sz w:val="24"/>
          <w:szCs w:val="24"/>
        </w:rPr>
        <w:t>(IRR)</w:t>
      </w:r>
      <w:r w:rsidRPr="00902783">
        <w:rPr>
          <w:rFonts w:ascii="Times New Roman" w:hAnsi="Times New Roman" w:cs="Times New Roman"/>
          <w:sz w:val="24"/>
          <w:szCs w:val="24"/>
        </w:rPr>
        <w:t xml:space="preserve"> – it is that discount rate at zero net present value. The project with a higher rate is preferred.</w:t>
      </w:r>
      <w:r w:rsidR="00815E3F">
        <w:rPr>
          <w:rFonts w:ascii="Times New Roman" w:hAnsi="Times New Roman" w:cs="Times New Roman"/>
          <w:sz w:val="24"/>
          <w:szCs w:val="24"/>
        </w:rPr>
        <w:t xml:space="preserve"> IRR is advantageous as it indicates the minimum </w:t>
      </w:r>
      <w:r w:rsidR="000D1A3B">
        <w:rPr>
          <w:rFonts w:ascii="Times New Roman" w:hAnsi="Times New Roman" w:cs="Times New Roman"/>
          <w:sz w:val="24"/>
          <w:szCs w:val="24"/>
        </w:rPr>
        <w:t xml:space="preserve">acceptable rate </w:t>
      </w:r>
      <w:r w:rsidR="0037720F">
        <w:rPr>
          <w:rFonts w:ascii="Times New Roman" w:hAnsi="Times New Roman" w:cs="Times New Roman"/>
          <w:sz w:val="24"/>
          <w:szCs w:val="24"/>
        </w:rPr>
        <w:t>that an investor should expect from a project.</w:t>
      </w:r>
      <w:r w:rsidR="00B9059A">
        <w:rPr>
          <w:rFonts w:ascii="Times New Roman" w:hAnsi="Times New Roman" w:cs="Times New Roman"/>
          <w:sz w:val="24"/>
          <w:szCs w:val="24"/>
        </w:rPr>
        <w:t xml:space="preserve"> It also accrues the benefit of </w:t>
      </w:r>
      <w:r w:rsidR="00C20307">
        <w:rPr>
          <w:rFonts w:ascii="Times New Roman" w:hAnsi="Times New Roman" w:cs="Times New Roman"/>
          <w:sz w:val="24"/>
          <w:szCs w:val="24"/>
        </w:rPr>
        <w:t>being simple and incorporating the time value of money requirement</w:t>
      </w:r>
      <w:r w:rsidR="002B59A2">
        <w:rPr>
          <w:rFonts w:ascii="Times New Roman" w:hAnsi="Times New Roman" w:cs="Times New Roman"/>
          <w:sz w:val="24"/>
          <w:szCs w:val="24"/>
        </w:rPr>
        <w:t xml:space="preserve"> </w:t>
      </w:r>
      <w:r w:rsidR="002B59A2">
        <w:rPr>
          <w:rFonts w:ascii="Times New Roman" w:hAnsi="Times New Roman" w:cs="Times New Roman"/>
          <w:sz w:val="24"/>
          <w:szCs w:val="24"/>
        </w:rPr>
        <w:t>(</w:t>
      </w:r>
      <w:r w:rsidR="002B59A2" w:rsidRPr="00C85A32">
        <w:rPr>
          <w:rFonts w:ascii="Times New Roman" w:hAnsi="Times New Roman" w:cs="Times New Roman"/>
          <w:sz w:val="24"/>
          <w:szCs w:val="24"/>
        </w:rPr>
        <w:t>Ross, Westerfield, &amp; Jaffe, 2016)</w:t>
      </w:r>
      <w:r w:rsidR="00C20307">
        <w:rPr>
          <w:rFonts w:ascii="Times New Roman" w:hAnsi="Times New Roman" w:cs="Times New Roman"/>
          <w:sz w:val="24"/>
          <w:szCs w:val="24"/>
        </w:rPr>
        <w:t>.</w:t>
      </w:r>
      <w:r w:rsidR="002216FE">
        <w:rPr>
          <w:rFonts w:ascii="Times New Roman" w:hAnsi="Times New Roman" w:cs="Times New Roman"/>
          <w:sz w:val="24"/>
          <w:szCs w:val="24"/>
        </w:rPr>
        <w:t xml:space="preserve"> However, it is limited in applicability for instance in evaluating mutually exclusive projects.</w:t>
      </w:r>
    </w:p>
    <w:p w:rsidR="003E670C" w:rsidRPr="00902783" w:rsidRDefault="003E670C" w:rsidP="00172EF1">
      <w:pPr>
        <w:numPr>
          <w:ilvl w:val="0"/>
          <w:numId w:val="1"/>
        </w:numPr>
        <w:tabs>
          <w:tab w:val="left" w:pos="360"/>
          <w:tab w:val="left" w:pos="630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2783">
        <w:rPr>
          <w:rFonts w:ascii="Times New Roman" w:hAnsi="Times New Roman" w:cs="Times New Roman"/>
          <w:i/>
          <w:sz w:val="24"/>
          <w:szCs w:val="24"/>
        </w:rPr>
        <w:lastRenderedPageBreak/>
        <w:t>Net Present Value</w:t>
      </w:r>
      <w:r w:rsidRPr="00902783">
        <w:rPr>
          <w:rFonts w:ascii="Times New Roman" w:hAnsi="Times New Roman" w:cs="Times New Roman"/>
          <w:sz w:val="24"/>
          <w:szCs w:val="24"/>
        </w:rPr>
        <w:t xml:space="preserve"> </w:t>
      </w:r>
      <w:r w:rsidRPr="00902783">
        <w:rPr>
          <w:rFonts w:ascii="Times New Roman" w:hAnsi="Times New Roman" w:cs="Times New Roman"/>
          <w:i/>
          <w:sz w:val="24"/>
          <w:szCs w:val="24"/>
        </w:rPr>
        <w:t>(NPV)</w:t>
      </w:r>
      <w:r w:rsidRPr="00902783">
        <w:rPr>
          <w:rFonts w:ascii="Times New Roman" w:hAnsi="Times New Roman" w:cs="Times New Roman"/>
          <w:sz w:val="24"/>
          <w:szCs w:val="24"/>
        </w:rPr>
        <w:t xml:space="preserve"> – this concept involves the determination of discounted </w:t>
      </w:r>
      <w:r w:rsidRPr="007F0187">
        <w:rPr>
          <w:rFonts w:ascii="Times New Roman" w:hAnsi="Times New Roman" w:cs="Times New Roman"/>
          <w:noProof/>
          <w:sz w:val="24"/>
          <w:szCs w:val="24"/>
        </w:rPr>
        <w:t>cashflows</w:t>
      </w:r>
      <w:r w:rsidRPr="00902783">
        <w:rPr>
          <w:rFonts w:ascii="Times New Roman" w:hAnsi="Times New Roman" w:cs="Times New Roman"/>
          <w:sz w:val="24"/>
          <w:szCs w:val="24"/>
        </w:rPr>
        <w:t xml:space="preserve"> on a project to </w:t>
      </w:r>
      <w:r w:rsidR="002E63E1" w:rsidRPr="00902783">
        <w:rPr>
          <w:rFonts w:ascii="Times New Roman" w:hAnsi="Times New Roman" w:cs="Times New Roman"/>
          <w:sz w:val="24"/>
          <w:szCs w:val="24"/>
        </w:rPr>
        <w:t>determine</w:t>
      </w:r>
      <w:r w:rsidRPr="00902783">
        <w:rPr>
          <w:rFonts w:ascii="Times New Roman" w:hAnsi="Times New Roman" w:cs="Times New Roman"/>
          <w:sz w:val="24"/>
          <w:szCs w:val="24"/>
        </w:rPr>
        <w:t xml:space="preserve"> the </w:t>
      </w:r>
      <w:r w:rsidR="002E63E1">
        <w:rPr>
          <w:rFonts w:ascii="Times New Roman" w:hAnsi="Times New Roman" w:cs="Times New Roman"/>
          <w:sz w:val="24"/>
          <w:szCs w:val="24"/>
        </w:rPr>
        <w:t>aggregate</w:t>
      </w:r>
      <w:r w:rsidRPr="00902783">
        <w:rPr>
          <w:rFonts w:ascii="Times New Roman" w:hAnsi="Times New Roman" w:cs="Times New Roman"/>
          <w:sz w:val="24"/>
          <w:szCs w:val="24"/>
        </w:rPr>
        <w:t xml:space="preserve"> present </w:t>
      </w:r>
      <w:r w:rsidR="00F30944">
        <w:rPr>
          <w:rFonts w:ascii="Times New Roman" w:hAnsi="Times New Roman" w:cs="Times New Roman"/>
          <w:sz w:val="24"/>
          <w:szCs w:val="24"/>
        </w:rPr>
        <w:t>value of the streams of cash flow</w:t>
      </w:r>
      <w:r w:rsidRPr="00902783">
        <w:rPr>
          <w:rFonts w:ascii="Times New Roman" w:hAnsi="Times New Roman" w:cs="Times New Roman"/>
          <w:sz w:val="24"/>
          <w:szCs w:val="24"/>
        </w:rPr>
        <w:t xml:space="preserve">. </w:t>
      </w:r>
      <w:r w:rsidR="00F30944" w:rsidRPr="007F0187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Pr="007F0187">
        <w:rPr>
          <w:rFonts w:ascii="Times New Roman" w:hAnsi="Times New Roman" w:cs="Times New Roman"/>
          <w:noProof/>
          <w:sz w:val="24"/>
          <w:szCs w:val="24"/>
        </w:rPr>
        <w:t>positive</w:t>
      </w:r>
      <w:r w:rsidR="00F30944" w:rsidRPr="007F0187">
        <w:rPr>
          <w:rFonts w:ascii="Times New Roman" w:hAnsi="Times New Roman" w:cs="Times New Roman"/>
          <w:noProof/>
          <w:sz w:val="24"/>
          <w:szCs w:val="24"/>
        </w:rPr>
        <w:t xml:space="preserve"> NPV</w:t>
      </w:r>
      <w:r w:rsidR="007F0187">
        <w:rPr>
          <w:rFonts w:ascii="Times New Roman" w:hAnsi="Times New Roman" w:cs="Times New Roman"/>
          <w:noProof/>
          <w:sz w:val="24"/>
          <w:szCs w:val="24"/>
        </w:rPr>
        <w:t xml:space="preserve"> shows that the</w:t>
      </w:r>
      <w:r w:rsidRPr="00902783">
        <w:rPr>
          <w:rFonts w:ascii="Times New Roman" w:hAnsi="Times New Roman" w:cs="Times New Roman"/>
          <w:sz w:val="24"/>
          <w:szCs w:val="24"/>
        </w:rPr>
        <w:t xml:space="preserve"> projected inflows will be higher than the expected cost and therefore the project is a worthy investment </w:t>
      </w:r>
      <w:r w:rsidR="00F30944">
        <w:rPr>
          <w:rFonts w:ascii="Times New Roman" w:hAnsi="Times New Roman" w:cs="Times New Roman"/>
          <w:sz w:val="24"/>
          <w:szCs w:val="24"/>
        </w:rPr>
        <w:t>while</w:t>
      </w:r>
      <w:r w:rsidRPr="00902783">
        <w:rPr>
          <w:rFonts w:ascii="Times New Roman" w:hAnsi="Times New Roman" w:cs="Times New Roman"/>
          <w:sz w:val="24"/>
          <w:szCs w:val="24"/>
        </w:rPr>
        <w:t xml:space="preserve"> a negative net present value indicates that the expected cost of the project is more than the projected earnings</w:t>
      </w:r>
      <w:r w:rsidR="00F30944">
        <w:rPr>
          <w:rFonts w:ascii="Times New Roman" w:hAnsi="Times New Roman" w:cs="Times New Roman"/>
          <w:sz w:val="24"/>
          <w:szCs w:val="24"/>
        </w:rPr>
        <w:t xml:space="preserve"> and </w:t>
      </w:r>
      <w:r w:rsidRPr="00902783">
        <w:rPr>
          <w:rFonts w:ascii="Times New Roman" w:hAnsi="Times New Roman" w:cs="Times New Roman"/>
          <w:sz w:val="24"/>
          <w:szCs w:val="24"/>
        </w:rPr>
        <w:t xml:space="preserve">the project should </w:t>
      </w:r>
      <w:r w:rsidRPr="007F0187">
        <w:rPr>
          <w:rFonts w:ascii="Times New Roman" w:hAnsi="Times New Roman" w:cs="Times New Roman"/>
          <w:noProof/>
          <w:sz w:val="24"/>
          <w:szCs w:val="24"/>
        </w:rPr>
        <w:t>be dropped</w:t>
      </w:r>
      <w:r w:rsidR="002B59A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59A2">
        <w:rPr>
          <w:rFonts w:ascii="Times New Roman" w:hAnsi="Times New Roman" w:cs="Times New Roman"/>
          <w:sz w:val="24"/>
          <w:szCs w:val="24"/>
        </w:rPr>
        <w:t>(</w:t>
      </w:r>
      <w:r w:rsidR="002B59A2" w:rsidRPr="00C85A32">
        <w:rPr>
          <w:rFonts w:ascii="Times New Roman" w:hAnsi="Times New Roman" w:cs="Times New Roman"/>
          <w:sz w:val="24"/>
          <w:szCs w:val="24"/>
        </w:rPr>
        <w:t>Ross, Westerfield, &amp; Jaffe, 2016)</w:t>
      </w:r>
      <w:r w:rsidRPr="00902783">
        <w:rPr>
          <w:rFonts w:ascii="Times New Roman" w:hAnsi="Times New Roman" w:cs="Times New Roman"/>
          <w:sz w:val="24"/>
          <w:szCs w:val="24"/>
        </w:rPr>
        <w:t>. This method</w:t>
      </w:r>
      <w:r w:rsidR="0006413A">
        <w:rPr>
          <w:rFonts w:ascii="Times New Roman" w:hAnsi="Times New Roman" w:cs="Times New Roman"/>
          <w:sz w:val="24"/>
          <w:szCs w:val="24"/>
        </w:rPr>
        <w:t xml:space="preserve"> has advantages since it</w:t>
      </w:r>
      <w:r w:rsidRPr="00902783">
        <w:rPr>
          <w:rFonts w:ascii="Times New Roman" w:hAnsi="Times New Roman" w:cs="Times New Roman"/>
          <w:sz w:val="24"/>
          <w:szCs w:val="24"/>
        </w:rPr>
        <w:t xml:space="preserve"> utilizes the time value of money criteria in determining the value of capital.</w:t>
      </w:r>
      <w:r w:rsidR="0006413A">
        <w:rPr>
          <w:rFonts w:ascii="Times New Roman" w:hAnsi="Times New Roman" w:cs="Times New Roman"/>
          <w:sz w:val="24"/>
          <w:szCs w:val="24"/>
        </w:rPr>
        <w:t xml:space="preserve"> NPV technique also </w:t>
      </w:r>
      <w:r w:rsidR="00EE262A">
        <w:rPr>
          <w:rFonts w:ascii="Times New Roman" w:hAnsi="Times New Roman" w:cs="Times New Roman"/>
          <w:sz w:val="24"/>
          <w:szCs w:val="24"/>
        </w:rPr>
        <w:t xml:space="preserve">takes into account the cost of capital and risk </w:t>
      </w:r>
      <w:r w:rsidR="0005404A">
        <w:rPr>
          <w:rFonts w:ascii="Times New Roman" w:hAnsi="Times New Roman" w:cs="Times New Roman"/>
          <w:sz w:val="24"/>
          <w:szCs w:val="24"/>
        </w:rPr>
        <w:t xml:space="preserve">attributable to a project in </w:t>
      </w:r>
      <w:r w:rsidR="007F0187">
        <w:rPr>
          <w:rFonts w:ascii="Times New Roman" w:hAnsi="Times New Roman" w:cs="Times New Roman"/>
          <w:noProof/>
          <w:sz w:val="24"/>
          <w:szCs w:val="24"/>
        </w:rPr>
        <w:t xml:space="preserve">its </w:t>
      </w:r>
      <w:r w:rsidR="0005404A">
        <w:rPr>
          <w:rFonts w:ascii="Times New Roman" w:hAnsi="Times New Roman" w:cs="Times New Roman"/>
          <w:sz w:val="24"/>
          <w:szCs w:val="24"/>
        </w:rPr>
        <w:t>computation.</w:t>
      </w:r>
      <w:r w:rsidR="00982D97">
        <w:rPr>
          <w:rFonts w:ascii="Times New Roman" w:hAnsi="Times New Roman" w:cs="Times New Roman"/>
          <w:sz w:val="24"/>
          <w:szCs w:val="24"/>
        </w:rPr>
        <w:t xml:space="preserve"> Its main disadvantage is the assumption made on the cost of capital which could be wrong and inadequate in most cases.</w:t>
      </w:r>
    </w:p>
    <w:p w:rsidR="003E670C" w:rsidRDefault="003E670C" w:rsidP="00172EF1">
      <w:pPr>
        <w:numPr>
          <w:ilvl w:val="0"/>
          <w:numId w:val="1"/>
        </w:numPr>
        <w:tabs>
          <w:tab w:val="left" w:pos="360"/>
          <w:tab w:val="left" w:pos="630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2783">
        <w:rPr>
          <w:rFonts w:ascii="Times New Roman" w:hAnsi="Times New Roman" w:cs="Times New Roman"/>
          <w:i/>
          <w:sz w:val="24"/>
          <w:szCs w:val="24"/>
        </w:rPr>
        <w:t>Payback period</w:t>
      </w:r>
      <w:r w:rsidRPr="00902783">
        <w:rPr>
          <w:rFonts w:ascii="Times New Roman" w:hAnsi="Times New Roman" w:cs="Times New Roman"/>
          <w:sz w:val="24"/>
          <w:szCs w:val="24"/>
        </w:rPr>
        <w:t xml:space="preserve"> </w:t>
      </w:r>
      <w:r w:rsidR="00A30A07">
        <w:rPr>
          <w:rFonts w:ascii="Times New Roman" w:hAnsi="Times New Roman" w:cs="Times New Roman"/>
          <w:sz w:val="24"/>
          <w:szCs w:val="24"/>
        </w:rPr>
        <w:t>–</w:t>
      </w:r>
      <w:r w:rsidRPr="00902783">
        <w:rPr>
          <w:rFonts w:ascii="Times New Roman" w:hAnsi="Times New Roman" w:cs="Times New Roman"/>
          <w:sz w:val="24"/>
          <w:szCs w:val="24"/>
        </w:rPr>
        <w:t xml:space="preserve"> </w:t>
      </w:r>
      <w:r w:rsidR="00A30A07">
        <w:rPr>
          <w:rFonts w:ascii="Times New Roman" w:hAnsi="Times New Roman" w:cs="Times New Roman"/>
          <w:sz w:val="24"/>
          <w:szCs w:val="24"/>
        </w:rPr>
        <w:t xml:space="preserve">The payback technique </w:t>
      </w:r>
      <w:r w:rsidRPr="00902783">
        <w:rPr>
          <w:rFonts w:ascii="Times New Roman" w:hAnsi="Times New Roman" w:cs="Times New Roman"/>
          <w:sz w:val="24"/>
          <w:szCs w:val="24"/>
        </w:rPr>
        <w:t>is an approach applicable in assessing the time it would take for a capital project to generate its initial cost or repay its initial outlay cost. The payback period technique is useful in capital budgeting as it ascertains the length of time that a project would take to generate returns after repaying its outlay cost relative to its useful life</w:t>
      </w:r>
      <w:r w:rsidR="002B59A2">
        <w:rPr>
          <w:rFonts w:ascii="Times New Roman" w:hAnsi="Times New Roman" w:cs="Times New Roman"/>
          <w:sz w:val="24"/>
          <w:szCs w:val="24"/>
        </w:rPr>
        <w:t xml:space="preserve"> </w:t>
      </w:r>
      <w:r w:rsidR="002B59A2">
        <w:rPr>
          <w:rFonts w:ascii="Times New Roman" w:hAnsi="Times New Roman" w:cs="Times New Roman"/>
          <w:sz w:val="24"/>
          <w:szCs w:val="24"/>
        </w:rPr>
        <w:t>(</w:t>
      </w:r>
      <w:r w:rsidR="002B59A2" w:rsidRPr="00C85A32">
        <w:rPr>
          <w:rFonts w:ascii="Times New Roman" w:hAnsi="Times New Roman" w:cs="Times New Roman"/>
          <w:sz w:val="24"/>
          <w:szCs w:val="24"/>
        </w:rPr>
        <w:t>Ross, Westerfield, &amp; Jaffe, 2016)</w:t>
      </w:r>
      <w:r w:rsidRPr="00902783">
        <w:rPr>
          <w:rFonts w:ascii="Times New Roman" w:hAnsi="Times New Roman" w:cs="Times New Roman"/>
          <w:sz w:val="24"/>
          <w:szCs w:val="24"/>
        </w:rPr>
        <w:t>.</w:t>
      </w:r>
      <w:r w:rsidR="00A30A07">
        <w:rPr>
          <w:rFonts w:ascii="Times New Roman" w:hAnsi="Times New Roman" w:cs="Times New Roman"/>
          <w:sz w:val="24"/>
          <w:szCs w:val="24"/>
        </w:rPr>
        <w:t xml:space="preserve"> The main </w:t>
      </w:r>
      <w:r w:rsidR="00414D0B">
        <w:rPr>
          <w:rFonts w:ascii="Times New Roman" w:hAnsi="Times New Roman" w:cs="Times New Roman"/>
          <w:sz w:val="24"/>
          <w:szCs w:val="24"/>
        </w:rPr>
        <w:t>advantages</w:t>
      </w:r>
      <w:r w:rsidR="00A30A07">
        <w:rPr>
          <w:rFonts w:ascii="Times New Roman" w:hAnsi="Times New Roman" w:cs="Times New Roman"/>
          <w:sz w:val="24"/>
          <w:szCs w:val="24"/>
        </w:rPr>
        <w:t xml:space="preserve"> are that it considers </w:t>
      </w:r>
      <w:r w:rsidR="007F0187">
        <w:rPr>
          <w:rFonts w:ascii="Times New Roman" w:hAnsi="Times New Roman" w:cs="Times New Roman"/>
          <w:sz w:val="24"/>
          <w:szCs w:val="24"/>
        </w:rPr>
        <w:t xml:space="preserve">the </w:t>
      </w:r>
      <w:r w:rsidR="00A30A07" w:rsidRPr="007F0187">
        <w:rPr>
          <w:rFonts w:ascii="Times New Roman" w:hAnsi="Times New Roman" w:cs="Times New Roman"/>
          <w:noProof/>
          <w:sz w:val="24"/>
          <w:szCs w:val="24"/>
        </w:rPr>
        <w:t>time</w:t>
      </w:r>
      <w:r w:rsidR="00A30A07">
        <w:rPr>
          <w:rFonts w:ascii="Times New Roman" w:hAnsi="Times New Roman" w:cs="Times New Roman"/>
          <w:sz w:val="24"/>
          <w:szCs w:val="24"/>
        </w:rPr>
        <w:t xml:space="preserve"> value of money and also incorporating risk assessment </w:t>
      </w:r>
      <w:r w:rsidR="00414D0B">
        <w:rPr>
          <w:rFonts w:ascii="Times New Roman" w:hAnsi="Times New Roman" w:cs="Times New Roman"/>
          <w:sz w:val="24"/>
          <w:szCs w:val="24"/>
        </w:rPr>
        <w:t xml:space="preserve">in determining the payback period. The main disadvantage is that </w:t>
      </w:r>
      <w:r w:rsidR="00B54C77">
        <w:rPr>
          <w:rFonts w:ascii="Times New Roman" w:hAnsi="Times New Roman" w:cs="Times New Roman"/>
          <w:sz w:val="24"/>
          <w:szCs w:val="24"/>
        </w:rPr>
        <w:t>it does not indicate whether the value of a project may grow in time.</w:t>
      </w:r>
    </w:p>
    <w:p w:rsidR="00C85A32" w:rsidRDefault="00172EF1" w:rsidP="00172EF1">
      <w:pPr>
        <w:tabs>
          <w:tab w:val="left" w:pos="360"/>
          <w:tab w:val="left" w:pos="6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2783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5757EF">
        <w:rPr>
          <w:rFonts w:ascii="Times New Roman" w:hAnsi="Times New Roman" w:cs="Times New Roman"/>
          <w:sz w:val="24"/>
          <w:szCs w:val="24"/>
        </w:rPr>
        <w:t xml:space="preserve">the selection of the right project </w:t>
      </w:r>
      <w:r w:rsidR="005F4EBB">
        <w:rPr>
          <w:rFonts w:ascii="Times New Roman" w:hAnsi="Times New Roman" w:cs="Times New Roman"/>
          <w:sz w:val="24"/>
          <w:szCs w:val="24"/>
        </w:rPr>
        <w:t>necessitates</w:t>
      </w:r>
      <w:r w:rsidR="0068120A">
        <w:rPr>
          <w:rFonts w:ascii="Times New Roman" w:hAnsi="Times New Roman" w:cs="Times New Roman"/>
          <w:sz w:val="24"/>
          <w:szCs w:val="24"/>
        </w:rPr>
        <w:t xml:space="preserve"> a comprehensive </w:t>
      </w:r>
      <w:r w:rsidR="005F4EBB">
        <w:rPr>
          <w:rFonts w:ascii="Times New Roman" w:hAnsi="Times New Roman" w:cs="Times New Roman"/>
          <w:sz w:val="24"/>
          <w:szCs w:val="24"/>
        </w:rPr>
        <w:t>evaluation</w:t>
      </w:r>
      <w:r w:rsidR="0068120A">
        <w:rPr>
          <w:rFonts w:ascii="Times New Roman" w:hAnsi="Times New Roman" w:cs="Times New Roman"/>
          <w:sz w:val="24"/>
          <w:szCs w:val="24"/>
        </w:rPr>
        <w:t xml:space="preserve"> of its cash flow stream against its capital outlay. It is therefore imperative to utilize the various techniques of capital budgeting in assessing the worth of the project. In particular, </w:t>
      </w:r>
      <w:r w:rsidR="007F0187">
        <w:rPr>
          <w:rFonts w:ascii="Times New Roman" w:hAnsi="Times New Roman" w:cs="Times New Roman"/>
          <w:sz w:val="24"/>
          <w:szCs w:val="24"/>
        </w:rPr>
        <w:t xml:space="preserve">the </w:t>
      </w:r>
      <w:r w:rsidR="0068120A" w:rsidRPr="007F0187">
        <w:rPr>
          <w:rFonts w:ascii="Times New Roman" w:hAnsi="Times New Roman" w:cs="Times New Roman"/>
          <w:noProof/>
          <w:sz w:val="24"/>
          <w:szCs w:val="24"/>
        </w:rPr>
        <w:t>NPV</w:t>
      </w:r>
      <w:r w:rsidR="0068120A">
        <w:rPr>
          <w:rFonts w:ascii="Times New Roman" w:hAnsi="Times New Roman" w:cs="Times New Roman"/>
          <w:sz w:val="24"/>
          <w:szCs w:val="24"/>
        </w:rPr>
        <w:t xml:space="preserve"> technique is the most effective and hence mostly utilized although it can </w:t>
      </w:r>
      <w:r w:rsidR="0068120A" w:rsidRPr="007F0187">
        <w:rPr>
          <w:rFonts w:ascii="Times New Roman" w:hAnsi="Times New Roman" w:cs="Times New Roman"/>
          <w:noProof/>
          <w:sz w:val="24"/>
          <w:szCs w:val="24"/>
        </w:rPr>
        <w:t>be used</w:t>
      </w:r>
      <w:r w:rsidR="0068120A">
        <w:rPr>
          <w:rFonts w:ascii="Times New Roman" w:hAnsi="Times New Roman" w:cs="Times New Roman"/>
          <w:sz w:val="24"/>
          <w:szCs w:val="24"/>
        </w:rPr>
        <w:t xml:space="preserve"> along the other techniques in project selection</w:t>
      </w:r>
      <w:r w:rsidR="002B59A2">
        <w:rPr>
          <w:rFonts w:ascii="Times New Roman" w:hAnsi="Times New Roman" w:cs="Times New Roman"/>
          <w:sz w:val="24"/>
          <w:szCs w:val="24"/>
        </w:rPr>
        <w:t xml:space="preserve"> (</w:t>
      </w:r>
      <w:r w:rsidR="002B59A2" w:rsidRPr="00C85A32">
        <w:rPr>
          <w:rFonts w:ascii="Times New Roman" w:hAnsi="Times New Roman" w:cs="Times New Roman"/>
          <w:sz w:val="24"/>
          <w:szCs w:val="24"/>
        </w:rPr>
        <w:t>Ross, Westerfield, &amp; Jaffe, 2016)</w:t>
      </w:r>
      <w:r w:rsidR="0068120A">
        <w:rPr>
          <w:rFonts w:ascii="Times New Roman" w:hAnsi="Times New Roman" w:cs="Times New Roman"/>
          <w:sz w:val="24"/>
          <w:szCs w:val="24"/>
        </w:rPr>
        <w:t>.</w:t>
      </w:r>
      <w:r w:rsidR="005F4EBB">
        <w:rPr>
          <w:rFonts w:ascii="Times New Roman" w:hAnsi="Times New Roman" w:cs="Times New Roman"/>
          <w:sz w:val="24"/>
          <w:szCs w:val="24"/>
        </w:rPr>
        <w:t xml:space="preserve"> In the case of project</w:t>
      </w:r>
      <w:r w:rsidR="00C87987">
        <w:rPr>
          <w:rFonts w:ascii="Times New Roman" w:hAnsi="Times New Roman" w:cs="Times New Roman"/>
          <w:sz w:val="24"/>
          <w:szCs w:val="24"/>
        </w:rPr>
        <w:t>s</w:t>
      </w:r>
      <w:r w:rsidR="00C85A32">
        <w:rPr>
          <w:rFonts w:ascii="Times New Roman" w:hAnsi="Times New Roman" w:cs="Times New Roman"/>
          <w:sz w:val="24"/>
          <w:szCs w:val="24"/>
        </w:rPr>
        <w:t>,</w:t>
      </w:r>
      <w:r w:rsidR="005F4EBB">
        <w:rPr>
          <w:rFonts w:ascii="Times New Roman" w:hAnsi="Times New Roman" w:cs="Times New Roman"/>
          <w:sz w:val="24"/>
          <w:szCs w:val="24"/>
        </w:rPr>
        <w:t xml:space="preserve"> A and B requiring a capital of $10,000 and $55,000 respectively, Project A is </w:t>
      </w:r>
      <w:r w:rsidR="005F4EBB" w:rsidRPr="007F0187">
        <w:rPr>
          <w:rFonts w:ascii="Times New Roman" w:hAnsi="Times New Roman" w:cs="Times New Roman"/>
          <w:noProof/>
          <w:sz w:val="24"/>
          <w:szCs w:val="24"/>
        </w:rPr>
        <w:t>viable</w:t>
      </w:r>
      <w:r w:rsidR="005F4EBB">
        <w:rPr>
          <w:rFonts w:ascii="Times New Roman" w:hAnsi="Times New Roman" w:cs="Times New Roman"/>
          <w:sz w:val="24"/>
          <w:szCs w:val="24"/>
        </w:rPr>
        <w:t xml:space="preserve"> as it would </w:t>
      </w:r>
      <w:r w:rsidR="00C87987">
        <w:rPr>
          <w:rFonts w:ascii="Times New Roman" w:hAnsi="Times New Roman" w:cs="Times New Roman"/>
          <w:sz w:val="24"/>
          <w:szCs w:val="24"/>
        </w:rPr>
        <w:t>generate</w:t>
      </w:r>
      <w:r w:rsidR="005F4EBB">
        <w:rPr>
          <w:rFonts w:ascii="Times New Roman" w:hAnsi="Times New Roman" w:cs="Times New Roman"/>
          <w:sz w:val="24"/>
          <w:szCs w:val="24"/>
        </w:rPr>
        <w:t xml:space="preserve"> positive returns in 3 years.</w:t>
      </w:r>
    </w:p>
    <w:p w:rsidR="00C85A32" w:rsidRDefault="00C85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C85A32" w:rsidRDefault="00C85A32" w:rsidP="00C85A32">
      <w:pPr>
        <w:tabs>
          <w:tab w:val="left" w:pos="360"/>
          <w:tab w:val="left" w:pos="630"/>
        </w:tabs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85A32" w:rsidRDefault="00C85A32" w:rsidP="00C85A32">
      <w:pPr>
        <w:tabs>
          <w:tab w:val="left" w:pos="360"/>
          <w:tab w:val="left" w:pos="630"/>
        </w:tabs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5A32">
        <w:rPr>
          <w:rFonts w:ascii="Times New Roman" w:hAnsi="Times New Roman" w:cs="Times New Roman"/>
          <w:sz w:val="24"/>
          <w:szCs w:val="24"/>
        </w:rPr>
        <w:t>Ross, S. A., Westerfield, R., &amp; Jaffe, J. F. (2016). Corporate finance 11th Edn</w:t>
      </w:r>
      <w:bookmarkStart w:id="0" w:name="_GoBack"/>
      <w:bookmarkEnd w:id="0"/>
      <w:r w:rsidRPr="00C85A32">
        <w:rPr>
          <w:rFonts w:ascii="Times New Roman" w:hAnsi="Times New Roman" w:cs="Times New Roman"/>
          <w:sz w:val="24"/>
          <w:szCs w:val="24"/>
        </w:rPr>
        <w:t>. </w:t>
      </w:r>
      <w:r w:rsidRPr="00C85A32">
        <w:rPr>
          <w:rFonts w:ascii="Times New Roman" w:hAnsi="Times New Roman" w:cs="Times New Roman"/>
          <w:i/>
          <w:iCs/>
          <w:sz w:val="24"/>
          <w:szCs w:val="24"/>
        </w:rPr>
        <w:t>Dubuque: Published by McGraw-Hill Education. Google Scholar</w:t>
      </w:r>
      <w:r w:rsidRPr="00C85A32">
        <w:rPr>
          <w:rFonts w:ascii="Times New Roman" w:hAnsi="Times New Roman" w:cs="Times New Roman"/>
          <w:sz w:val="24"/>
          <w:szCs w:val="24"/>
        </w:rPr>
        <w:t>.</w:t>
      </w:r>
    </w:p>
    <w:p w:rsidR="00C86A89" w:rsidRPr="00902783" w:rsidRDefault="00C86A89" w:rsidP="00902783">
      <w:pPr>
        <w:tabs>
          <w:tab w:val="left" w:pos="360"/>
          <w:tab w:val="left" w:pos="630"/>
        </w:tabs>
        <w:rPr>
          <w:rFonts w:ascii="Times New Roman" w:hAnsi="Times New Roman" w:cs="Times New Roman"/>
          <w:sz w:val="24"/>
          <w:szCs w:val="24"/>
        </w:rPr>
      </w:pPr>
    </w:p>
    <w:p w:rsidR="00595A29" w:rsidRDefault="00595A29"/>
    <w:sectPr w:rsidR="00595A29">
      <w:footerReference w:type="default" r:id="rId8"/>
      <w:pgSz w:w="12240" w:h="15840"/>
      <w:pgMar w:top="72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F77" w:rsidRDefault="00525F77">
      <w:pPr>
        <w:spacing w:after="0" w:line="240" w:lineRule="auto"/>
      </w:pPr>
      <w:r>
        <w:separator/>
      </w:r>
    </w:p>
  </w:endnote>
  <w:endnote w:type="continuationSeparator" w:id="0">
    <w:p w:rsidR="00525F77" w:rsidRDefault="00525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1299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5A29" w:rsidRDefault="00D77C4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3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F77" w:rsidRDefault="00525F77">
      <w:pPr>
        <w:spacing w:after="0" w:line="240" w:lineRule="auto"/>
      </w:pPr>
      <w:r>
        <w:separator/>
      </w:r>
    </w:p>
  </w:footnote>
  <w:footnote w:type="continuationSeparator" w:id="0">
    <w:p w:rsidR="00525F77" w:rsidRDefault="00525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04C41"/>
    <w:multiLevelType w:val="hybridMultilevel"/>
    <w:tmpl w:val="D6587DEA"/>
    <w:lvl w:ilvl="0" w:tplc="4B042A72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NjCyNDM0NzAwNDNV0lEKTi0uzszPAykwqgUAa5255CwAAAA="/>
  </w:docVars>
  <w:rsids>
    <w:rsidRoot w:val="003E670C"/>
    <w:rsid w:val="0005404A"/>
    <w:rsid w:val="0006413A"/>
    <w:rsid w:val="000D1A3B"/>
    <w:rsid w:val="00172EF1"/>
    <w:rsid w:val="00201891"/>
    <w:rsid w:val="002216FE"/>
    <w:rsid w:val="002B59A2"/>
    <w:rsid w:val="002E63E1"/>
    <w:rsid w:val="00306307"/>
    <w:rsid w:val="003713CA"/>
    <w:rsid w:val="0037720F"/>
    <w:rsid w:val="00390BCD"/>
    <w:rsid w:val="00394E0B"/>
    <w:rsid w:val="003E670C"/>
    <w:rsid w:val="00414D0B"/>
    <w:rsid w:val="004C2E9D"/>
    <w:rsid w:val="00525F77"/>
    <w:rsid w:val="005757EF"/>
    <w:rsid w:val="00595A29"/>
    <w:rsid w:val="005F4EBB"/>
    <w:rsid w:val="0068120A"/>
    <w:rsid w:val="00696B3E"/>
    <w:rsid w:val="006D69F0"/>
    <w:rsid w:val="00751185"/>
    <w:rsid w:val="00795131"/>
    <w:rsid w:val="007B3B75"/>
    <w:rsid w:val="007F0187"/>
    <w:rsid w:val="00812C84"/>
    <w:rsid w:val="00815E3F"/>
    <w:rsid w:val="00902783"/>
    <w:rsid w:val="009575A2"/>
    <w:rsid w:val="00982D97"/>
    <w:rsid w:val="00A30A07"/>
    <w:rsid w:val="00B54C77"/>
    <w:rsid w:val="00B76745"/>
    <w:rsid w:val="00B9059A"/>
    <w:rsid w:val="00C20307"/>
    <w:rsid w:val="00C85A32"/>
    <w:rsid w:val="00C86A89"/>
    <w:rsid w:val="00C87987"/>
    <w:rsid w:val="00CE4F23"/>
    <w:rsid w:val="00D52F2D"/>
    <w:rsid w:val="00D77C46"/>
    <w:rsid w:val="00D96D61"/>
    <w:rsid w:val="00DB108B"/>
    <w:rsid w:val="00EE262A"/>
    <w:rsid w:val="00F3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3B10"/>
  <w15:chartTrackingRefBased/>
  <w15:docId w15:val="{10037EAA-E13F-46E8-BE14-E22632A6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18"/>
        <w:szCs w:val="18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9F0"/>
  </w:style>
  <w:style w:type="paragraph" w:styleId="Heading1">
    <w:name w:val="heading 1"/>
    <w:basedOn w:val="Normal"/>
    <w:next w:val="Normal"/>
    <w:link w:val="Heading1Char"/>
    <w:uiPriority w:val="2"/>
    <w:qFormat/>
    <w:pPr>
      <w:spacing w:after="200"/>
      <w:contextualSpacing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character" w:customStyle="1" w:styleId="Heading1Char">
    <w:name w:val="Heading 1 Char"/>
    <w:basedOn w:val="DefaultParagraphFont"/>
    <w:link w:val="Heading1"/>
    <w:uiPriority w:val="2"/>
    <w:rPr>
      <w:b/>
      <w:color w:val="000000" w:themeColor="text1"/>
      <w:sz w:val="18"/>
      <w:szCs w:val="18"/>
      <w:lang w:eastAsia="en-US"/>
    </w:rPr>
  </w:style>
  <w:style w:type="table" w:styleId="TableGrid">
    <w:name w:val="Table Grid"/>
    <w:basedOn w:val="TableNormal"/>
    <w:uiPriority w:val="1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  <w:rPr>
      <w:color w:val="000000" w:themeColor="text1"/>
      <w:sz w:val="18"/>
      <w:szCs w:val="18"/>
      <w:lang w:eastAsia="en-US"/>
    </w:rPr>
  </w:style>
  <w:style w:type="paragraph" w:styleId="Title">
    <w:name w:val="Title"/>
    <w:basedOn w:val="Normal"/>
    <w:link w:val="TitleChar"/>
    <w:uiPriority w:val="1"/>
    <w:unhideWhenUsed/>
    <w:qFormat/>
    <w:pPr>
      <w:spacing w:after="400" w:line="360" w:lineRule="auto"/>
      <w:ind w:left="-86"/>
      <w:contextualSpacing/>
    </w:pPr>
    <w:rPr>
      <w:rFonts w:cstheme="majorBidi"/>
      <w:color w:val="595959" w:themeColor="text1" w:themeTint="A6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cstheme="majorBidi"/>
      <w:color w:val="595959" w:themeColor="text1" w:themeTint="A6"/>
      <w:spacing w:val="-10"/>
      <w:kern w:val="28"/>
      <w:sz w:val="96"/>
      <w:szCs w:val="56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  <w:rPr>
      <w:color w:val="000000" w:themeColor="text1"/>
      <w:sz w:val="18"/>
      <w:szCs w:val="18"/>
      <w:lang w:eastAsia="en-US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5131"/>
    <w:pPr>
      <w:keepNext/>
      <w:keepLines/>
      <w:outlineLvl w:val="9"/>
    </w:pPr>
    <w:rPr>
      <w:rFonts w:asciiTheme="majorHAnsi" w:eastAsiaTheme="majorEastAsia" w:hAnsiTheme="majorHAnsi" w:cstheme="majorBidi"/>
      <w:szCs w:val="32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D69F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D69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D69F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D69F0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ZARDi\AppData\Roaming\Microsoft\&#1064;&#1072;&#1073;&#1083;&#1086;&#1085;&#1099;\Memo%20(simpl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9D7F1B15354C57A4E4332270979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E221D-7A2C-47D8-8504-51825E61DD84}"/>
      </w:docPartPr>
      <w:docPartBody>
        <w:p w:rsidR="00000000" w:rsidRDefault="00626D7A">
          <w:pPr>
            <w:pStyle w:val="409D7F1B15354C57A4E43322709793D5"/>
          </w:pPr>
          <w:r>
            <w:t>To:</w:t>
          </w:r>
        </w:p>
      </w:docPartBody>
    </w:docPart>
    <w:docPart>
      <w:docPartPr>
        <w:name w:val="66A7619C2F144D5997283B87FA41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2CCA6D-3C0F-454C-9ABE-F7BF053A7A15}"/>
      </w:docPartPr>
      <w:docPartBody>
        <w:p w:rsidR="00000000" w:rsidRDefault="00626D7A">
          <w:pPr>
            <w:pStyle w:val="66A7619C2F144D5997283B87FA411CCC"/>
          </w:pPr>
          <w:r>
            <w:t xml:space="preserve">From: </w:t>
          </w:r>
        </w:p>
      </w:docPartBody>
    </w:docPart>
    <w:docPart>
      <w:docPartPr>
        <w:name w:val="F39CEFCF602146208D93EA1889241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176D3-5A47-4A17-8D1B-AE229D95090D}"/>
      </w:docPartPr>
      <w:docPartBody>
        <w:p w:rsidR="00000000" w:rsidRDefault="00626D7A">
          <w:pPr>
            <w:pStyle w:val="F39CEFCF602146208D93EA1889241CD2"/>
          </w:pPr>
          <w:r>
            <w:t xml:space="preserve">CC: </w:t>
          </w:r>
        </w:p>
      </w:docPartBody>
    </w:docPart>
    <w:docPart>
      <w:docPartPr>
        <w:name w:val="C2D39D237E66407CB7C314BF4F04A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B7C71-2287-4E77-AF98-DEE6340B4825}"/>
      </w:docPartPr>
      <w:docPartBody>
        <w:p w:rsidR="00000000" w:rsidRDefault="00626D7A">
          <w:pPr>
            <w:pStyle w:val="C2D39D237E66407CB7C314BF4F04ADF9"/>
          </w:pPr>
          <w:r>
            <w:t>Date:</w:t>
          </w:r>
        </w:p>
      </w:docPartBody>
    </w:docPart>
    <w:docPart>
      <w:docPartPr>
        <w:name w:val="E8B67E2810034EF7B1783AD723C9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16228-F274-4A52-89B4-592696827E50}"/>
      </w:docPartPr>
      <w:docPartBody>
        <w:p w:rsidR="00000000" w:rsidRDefault="00626D7A">
          <w:pPr>
            <w:pStyle w:val="E8B67E2810034EF7B1783AD723C97E99"/>
          </w:pPr>
          <w:r>
            <w:t>Re: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7A"/>
    <w:rsid w:val="0062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4CBCB14E13D4CDDB1C81D74785F2792">
    <w:name w:val="B4CBCB14E13D4CDDB1C81D74785F2792"/>
  </w:style>
  <w:style w:type="paragraph" w:customStyle="1" w:styleId="A73180677ECF4A1890EA59C76D0A93D5">
    <w:name w:val="A73180677ECF4A1890EA59C76D0A93D5"/>
  </w:style>
  <w:style w:type="paragraph" w:customStyle="1" w:styleId="409D7F1B15354C57A4E43322709793D5">
    <w:name w:val="409D7F1B15354C57A4E43322709793D5"/>
  </w:style>
  <w:style w:type="paragraph" w:customStyle="1" w:styleId="A95CE85DE5114FAC8B0F49A265DAA620">
    <w:name w:val="A95CE85DE5114FAC8B0F49A265DAA620"/>
  </w:style>
  <w:style w:type="paragraph" w:customStyle="1" w:styleId="66A7619C2F144D5997283B87FA411CCC">
    <w:name w:val="66A7619C2F144D5997283B87FA411CCC"/>
  </w:style>
  <w:style w:type="paragraph" w:customStyle="1" w:styleId="BAB15AA45629451AB97A1A1D95AD15D4">
    <w:name w:val="BAB15AA45629451AB97A1A1D95AD15D4"/>
  </w:style>
  <w:style w:type="paragraph" w:customStyle="1" w:styleId="F39CEFCF602146208D93EA1889241CD2">
    <w:name w:val="F39CEFCF602146208D93EA1889241CD2"/>
  </w:style>
  <w:style w:type="paragraph" w:customStyle="1" w:styleId="47C7FE2C6C9F4530A851124576C36D8B">
    <w:name w:val="47C7FE2C6C9F4530A851124576C36D8B"/>
  </w:style>
  <w:style w:type="paragraph" w:customStyle="1" w:styleId="C2D39D237E66407CB7C314BF4F04ADF9">
    <w:name w:val="C2D39D237E66407CB7C314BF4F04ADF9"/>
  </w:style>
  <w:style w:type="paragraph" w:customStyle="1" w:styleId="43F21C1E2FB44BC4BFA706C405FE85E5">
    <w:name w:val="43F21C1E2FB44BC4BFA706C405FE85E5"/>
  </w:style>
  <w:style w:type="paragraph" w:customStyle="1" w:styleId="E8B67E2810034EF7B1783AD723C97E99">
    <w:name w:val="E8B67E2810034EF7B1783AD723C97E99"/>
  </w:style>
  <w:style w:type="paragraph" w:customStyle="1" w:styleId="D726A3F36628442E99927D3E87131E98">
    <w:name w:val="D726A3F36628442E99927D3E87131E98"/>
  </w:style>
  <w:style w:type="paragraph" w:customStyle="1" w:styleId="31CF5D1417A94BE79070137A4ED424C5">
    <w:name w:val="31CF5D1417A94BE79070137A4ED424C5"/>
  </w:style>
  <w:style w:type="paragraph" w:customStyle="1" w:styleId="1EC5F21232564A1A95453E8F4394AD34">
    <w:name w:val="1EC5F21232564A1A95453E8F4394AD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emo Simpl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4CB3A-CC9C-47D8-A473-54440206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(simple design)</Template>
  <TotalTime>61</TotalTime>
  <Pages>4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dcterms:created xsi:type="dcterms:W3CDTF">2018-11-26T18:24:00Z</dcterms:created>
  <dcterms:modified xsi:type="dcterms:W3CDTF">2018-11-26T20:10:00Z</dcterms:modified>
</cp:coreProperties>
</file>